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B7" w:rsidRDefault="00C52188">
      <w:r>
        <w:rPr>
          <w:noProof/>
        </w:rPr>
        <w:drawing>
          <wp:inline distT="0" distB="0" distL="0" distR="0">
            <wp:extent cx="5016500" cy="6832600"/>
            <wp:effectExtent l="25400" t="0" r="0" b="0"/>
            <wp:docPr id="1" name="Picture 1" descr="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pic:cNvPicPr>
                      <a:picLocks noChangeAspect="1" noChangeArrowheads="1"/>
                    </pic:cNvPicPr>
                  </pic:nvPicPr>
                  <pic:blipFill>
                    <a:blip r:embed="rId4"/>
                    <a:srcRect/>
                    <a:stretch>
                      <a:fillRect/>
                    </a:stretch>
                  </pic:blipFill>
                  <pic:spPr bwMode="auto">
                    <a:xfrm>
                      <a:off x="0" y="0"/>
                      <a:ext cx="5016500" cy="6832600"/>
                    </a:xfrm>
                    <a:prstGeom prst="rect">
                      <a:avLst/>
                    </a:prstGeom>
                    <a:noFill/>
                    <a:ln w="9525">
                      <a:noFill/>
                      <a:miter lim="800000"/>
                      <a:headEnd/>
                      <a:tailEnd/>
                    </a:ln>
                  </pic:spPr>
                </pic:pic>
              </a:graphicData>
            </a:graphic>
          </wp:inline>
        </w:drawing>
      </w:r>
    </w:p>
    <w:p w:rsidR="005775B7" w:rsidRDefault="005775B7" w:rsidP="005775B7"/>
    <w:p w:rsidR="005775B7" w:rsidRDefault="005775B7" w:rsidP="005775B7"/>
    <w:p w:rsidR="005775B7" w:rsidRPr="007853EC" w:rsidRDefault="007853EC" w:rsidP="007853EC">
      <w:pPr>
        <w:spacing w:before="100" w:beforeAutospacing="1" w:afterAutospacing="1"/>
        <w:rPr>
          <w:b/>
        </w:rPr>
      </w:pPr>
      <w:r>
        <w:rPr>
          <w:b/>
          <w:bCs/>
        </w:rPr>
        <w:br w:type="page"/>
      </w:r>
      <w:r w:rsidR="005775B7" w:rsidRPr="007853EC">
        <w:rPr>
          <w:b/>
        </w:rPr>
        <w:t>The Two Statistical Representations of a Population</w:t>
      </w:r>
    </w:p>
    <w:p w:rsidR="005775B7" w:rsidRPr="005775B7" w:rsidRDefault="005775B7" w:rsidP="005775B7">
      <w:pPr>
        <w:rPr>
          <w:color w:val="000000"/>
        </w:rPr>
      </w:pPr>
      <w:r w:rsidRPr="005775B7">
        <w:rPr>
          <w:color w:val="000000"/>
        </w:rPr>
        <w:t>The following figure depicts a typical relationship between the cumulative distribution function (cdf) and the density (for continuous</w:t>
      </w:r>
      <w:r w:rsidR="007853EC">
        <w:rPr>
          <w:color w:val="000000"/>
        </w:rPr>
        <w:t xml:space="preserve"> random variables)</w:t>
      </w:r>
    </w:p>
    <w:p w:rsidR="005775B7" w:rsidRPr="005775B7" w:rsidRDefault="00C52188" w:rsidP="005775B7">
      <w:pPr>
        <w:jc w:val="center"/>
        <w:rPr>
          <w:color w:val="000000"/>
        </w:rPr>
      </w:pPr>
      <w:r>
        <w:rPr>
          <w:noProof/>
          <w:color w:val="000000"/>
        </w:rPr>
        <w:drawing>
          <wp:inline distT="0" distB="0" distL="0" distR="0">
            <wp:extent cx="2628900" cy="3416300"/>
            <wp:effectExtent l="25400" t="0" r="0" b="0"/>
            <wp:docPr id="2" name="Picture 2" descr="The Two representations of a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wo representations of a population"/>
                    <pic:cNvPicPr>
                      <a:picLocks noChangeAspect="1" noChangeArrowheads="1"/>
                    </pic:cNvPicPr>
                  </pic:nvPicPr>
                  <pic:blipFill>
                    <a:blip r:embed="rId5"/>
                    <a:srcRect/>
                    <a:stretch>
                      <a:fillRect/>
                    </a:stretch>
                  </pic:blipFill>
                  <pic:spPr bwMode="auto">
                    <a:xfrm>
                      <a:off x="0" y="0"/>
                      <a:ext cx="2628900" cy="3416300"/>
                    </a:xfrm>
                    <a:prstGeom prst="rect">
                      <a:avLst/>
                    </a:prstGeom>
                    <a:noFill/>
                    <a:ln w="9525">
                      <a:noFill/>
                      <a:miter lim="800000"/>
                      <a:headEnd/>
                      <a:tailEnd/>
                    </a:ln>
                  </pic:spPr>
                </pic:pic>
              </a:graphicData>
            </a:graphic>
          </wp:inline>
        </w:drawing>
      </w:r>
    </w:p>
    <w:p w:rsidR="005775B7" w:rsidRPr="005775B7" w:rsidRDefault="005775B7" w:rsidP="005775B7">
      <w:pPr>
        <w:spacing w:before="100" w:beforeAutospacing="1" w:after="100" w:afterAutospacing="1"/>
        <w:rPr>
          <w:color w:val="000000"/>
        </w:rPr>
      </w:pPr>
      <w:r w:rsidRPr="005775B7">
        <w:rPr>
          <w:color w:val="000000"/>
        </w:rPr>
        <w:t xml:space="preserve">All characteristics of the population are well described by either of these two functions. The figure also illustrates their applications in determining the (lower) percentile measures denoted by </w:t>
      </w:r>
      <w:r w:rsidRPr="005775B7">
        <w:rPr>
          <w:b/>
          <w:bCs/>
          <w:color w:val="000000"/>
        </w:rPr>
        <w:t>P</w:t>
      </w:r>
      <w:r w:rsidRPr="005775B7">
        <w:rPr>
          <w:color w:val="000000"/>
        </w:rPr>
        <w:t xml:space="preserve">: </w:t>
      </w:r>
    </w:p>
    <w:p w:rsidR="005775B7" w:rsidRPr="005775B7" w:rsidRDefault="005775B7" w:rsidP="005775B7">
      <w:pPr>
        <w:jc w:val="center"/>
        <w:rPr>
          <w:color w:val="000000"/>
        </w:rPr>
      </w:pPr>
      <w:r w:rsidRPr="005775B7">
        <w:rPr>
          <w:b/>
          <w:bCs/>
          <w:color w:val="000000"/>
        </w:rPr>
        <w:t>P</w:t>
      </w:r>
      <w:r w:rsidRPr="005775B7">
        <w:rPr>
          <w:color w:val="000000"/>
        </w:rPr>
        <w:t xml:space="preserve"> = P[ X </w:t>
      </w:r>
      <w:r w:rsidRPr="005775B7">
        <w:rPr>
          <w:rFonts w:ascii="Symbol" w:hAnsi="Symbol"/>
          <w:color w:val="000000"/>
        </w:rPr>
        <w:t></w:t>
      </w:r>
      <w:r w:rsidRPr="005775B7">
        <w:rPr>
          <w:color w:val="000000"/>
        </w:rPr>
        <w:t xml:space="preserve"> x] = Probability that the random variable</w:t>
      </w:r>
      <w:r w:rsidRPr="005775B7">
        <w:rPr>
          <w:color w:val="000000"/>
        </w:rPr>
        <w:br/>
        <w:t>X is less than or equal to a given number x,</w:t>
      </w:r>
    </w:p>
    <w:p w:rsidR="005775B7" w:rsidRPr="005775B7" w:rsidRDefault="005775B7" w:rsidP="005775B7">
      <w:pPr>
        <w:spacing w:before="100" w:beforeAutospacing="1" w:after="100" w:afterAutospacing="1"/>
        <w:rPr>
          <w:color w:val="000000"/>
        </w:rPr>
      </w:pPr>
      <w:r w:rsidRPr="005775B7">
        <w:rPr>
          <w:color w:val="000000"/>
        </w:rPr>
        <w:t xml:space="preserve">among other useful information. Notice that the probability P is the area under the density function curve, while numerically equal to the height of cdf curve at point x. </w:t>
      </w:r>
    </w:p>
    <w:p w:rsidR="005775B7" w:rsidRPr="005775B7" w:rsidRDefault="005775B7" w:rsidP="005775B7">
      <w:pPr>
        <w:spacing w:before="100" w:beforeAutospacing="1" w:afterAutospacing="1"/>
        <w:rPr>
          <w:color w:val="000000"/>
        </w:rPr>
      </w:pPr>
      <w:r w:rsidRPr="005775B7">
        <w:rPr>
          <w:color w:val="000000"/>
        </w:rPr>
        <w:t xml:space="preserve">Both functions can be estimated by </w:t>
      </w:r>
      <w:r w:rsidRPr="005775B7">
        <w:rPr>
          <w:i/>
          <w:iCs/>
          <w:color w:val="000000"/>
        </w:rPr>
        <w:t>smoothing the empirical (i.e., observed) cumulative step-function</w:t>
      </w:r>
      <w:r w:rsidRPr="005775B7">
        <w:rPr>
          <w:color w:val="000000"/>
        </w:rPr>
        <w:t xml:space="preserve">, and </w:t>
      </w:r>
      <w:r w:rsidRPr="005775B7">
        <w:rPr>
          <w:i/>
          <w:iCs/>
          <w:color w:val="000000"/>
        </w:rPr>
        <w:t>smoothing the histogram</w:t>
      </w:r>
      <w:r w:rsidRPr="005775B7">
        <w:rPr>
          <w:color w:val="000000"/>
        </w:rPr>
        <w:t xml:space="preserve"> constructed from a random sample. </w:t>
      </w:r>
    </w:p>
    <w:p w:rsidR="007853EC" w:rsidRDefault="007853EC" w:rsidP="007853EC">
      <w:pPr>
        <w:spacing w:beforeAutospacing="1" w:after="100" w:afterAutospacing="1"/>
        <w:rPr>
          <w:color w:val="000000"/>
        </w:rPr>
      </w:pPr>
      <w:r w:rsidRPr="00B659A7">
        <w:rPr>
          <w:b/>
          <w:bCs/>
        </w:rPr>
        <w:t>Number of Class Intervals in a Histogram:</w:t>
      </w:r>
      <w:r w:rsidRPr="00B659A7">
        <w:rPr>
          <w:color w:val="000000"/>
        </w:rPr>
        <w:t xml:space="preserve"> Before we can construct our frequency distribution we must determine how many classes we should use. This is purely arbitrary, but too few classes or too many classes will not provide as clear a picture as can be obtained with some more nearly optimum number. </w:t>
      </w:r>
    </w:p>
    <w:p w:rsidR="007853EC" w:rsidRPr="00B659A7" w:rsidRDefault="007853EC" w:rsidP="007853EC">
      <w:pPr>
        <w:spacing w:beforeAutospacing="1" w:after="100" w:afterAutospacing="1"/>
        <w:rPr>
          <w:color w:val="000000"/>
        </w:rPr>
      </w:pPr>
      <w:r w:rsidRPr="00B659A7">
        <w:rPr>
          <w:color w:val="000000"/>
        </w:rPr>
        <w:t xml:space="preserve">An empirical </w:t>
      </w:r>
      <w:r>
        <w:rPr>
          <w:color w:val="000000"/>
        </w:rPr>
        <w:t xml:space="preserve">guide </w:t>
      </w:r>
      <w:r w:rsidRPr="00B659A7">
        <w:rPr>
          <w:color w:val="000000"/>
        </w:rPr>
        <w:t xml:space="preserve">known as Sturge's rule, may be used to determine the optimal number of classes (k) is given by the smallest integer greater than or equal to </w:t>
      </w:r>
    </w:p>
    <w:p w:rsidR="007853EC" w:rsidRPr="00B659A7" w:rsidRDefault="007853EC" w:rsidP="007853EC">
      <w:pPr>
        <w:jc w:val="center"/>
        <w:rPr>
          <w:color w:val="000000"/>
        </w:rPr>
      </w:pPr>
      <w:r w:rsidRPr="00B659A7">
        <w:rPr>
          <w:color w:val="000000"/>
        </w:rPr>
        <w:t xml:space="preserve">Minimum of { n </w:t>
      </w:r>
      <w:r w:rsidRPr="00B659A7">
        <w:rPr>
          <w:color w:val="000000"/>
          <w:vertAlign w:val="superscript"/>
        </w:rPr>
        <w:t>1/2</w:t>
      </w:r>
      <w:r w:rsidRPr="00B659A7">
        <w:rPr>
          <w:color w:val="000000"/>
        </w:rPr>
        <w:t>, 10 Log(n) }</w:t>
      </w:r>
      <w:r>
        <w:rPr>
          <w:color w:val="000000"/>
        </w:rPr>
        <w:t>,  n ≥  30</w:t>
      </w:r>
    </w:p>
    <w:p w:rsidR="007853EC" w:rsidRPr="00B659A7" w:rsidRDefault="007853EC" w:rsidP="007853EC">
      <w:pPr>
        <w:spacing w:before="100" w:beforeAutospacing="1" w:after="100" w:afterAutospacing="1"/>
        <w:rPr>
          <w:color w:val="000000"/>
        </w:rPr>
      </w:pPr>
      <w:r w:rsidRPr="00B659A7">
        <w:rPr>
          <w:color w:val="000000"/>
        </w:rPr>
        <w:t xml:space="preserve">where Log is the logarithm in base 10, and n is the total number of the numerical values which comprise the data set. </w:t>
      </w:r>
    </w:p>
    <w:p w:rsidR="007853EC" w:rsidRPr="00B659A7" w:rsidRDefault="007853EC" w:rsidP="007853EC">
      <w:pPr>
        <w:spacing w:before="100" w:beforeAutospacing="1" w:after="100" w:afterAutospacing="1"/>
        <w:rPr>
          <w:color w:val="000000"/>
        </w:rPr>
      </w:pPr>
      <w:r w:rsidRPr="00B659A7">
        <w:rPr>
          <w:color w:val="000000"/>
        </w:rPr>
        <w:t xml:space="preserve">Therefore, class width is: </w:t>
      </w:r>
    </w:p>
    <w:p w:rsidR="007853EC" w:rsidRPr="00B659A7" w:rsidRDefault="007853EC" w:rsidP="007853EC">
      <w:pPr>
        <w:jc w:val="center"/>
        <w:rPr>
          <w:color w:val="000000"/>
        </w:rPr>
      </w:pPr>
      <w:r w:rsidRPr="00B659A7">
        <w:rPr>
          <w:color w:val="000000"/>
        </w:rPr>
        <w:t>(</w:t>
      </w:r>
      <w:r>
        <w:rPr>
          <w:color w:val="000000"/>
        </w:rPr>
        <w:t>Highest value - L</w:t>
      </w:r>
      <w:r w:rsidRPr="00B659A7">
        <w:rPr>
          <w:color w:val="000000"/>
        </w:rPr>
        <w:t>owest value) / k</w:t>
      </w:r>
    </w:p>
    <w:p w:rsidR="005775B7" w:rsidRPr="005775B7" w:rsidRDefault="007853EC" w:rsidP="007853EC">
      <w:pPr>
        <w:spacing w:before="100" w:beforeAutospacing="1" w:afterAutospacing="1"/>
        <w:rPr>
          <w:color w:val="000000"/>
        </w:rPr>
      </w:pPr>
      <w:r w:rsidRPr="00B659A7">
        <w:rPr>
          <w:color w:val="000000"/>
        </w:rPr>
        <w:t>The following JavaScript produces a histogram based on this rule:</w:t>
      </w:r>
      <w:r>
        <w:rPr>
          <w:color w:val="000000"/>
        </w:rPr>
        <w:t xml:space="preserve"> </w:t>
      </w:r>
      <w:r w:rsidRPr="00B659A7">
        <w:rPr>
          <w:color w:val="000000"/>
        </w:rPr>
        <w:fldChar w:fldCharType="begin"/>
      </w:r>
      <w:r w:rsidRPr="00B659A7">
        <w:rPr>
          <w:color w:val="000000"/>
        </w:rPr>
        <w:instrText xml:space="preserve"> HYPERLINK "http://home.ubalt.edu/ntsbarsh/Business-stat/histograming/topframe.html" \t "new" </w:instrText>
      </w:r>
      <w:r w:rsidRPr="00B659A7">
        <w:rPr>
          <w:color w:val="000000"/>
        </w:rPr>
        <w:fldChar w:fldCharType="separate"/>
      </w:r>
      <w:r w:rsidRPr="00B659A7">
        <w:rPr>
          <w:color w:val="0063A4"/>
          <w:u w:val="single"/>
        </w:rPr>
        <w:t>Test for Homogeneity of a Population</w:t>
      </w:r>
      <w:r w:rsidRPr="00B659A7">
        <w:rPr>
          <w:color w:val="000000"/>
        </w:rPr>
        <w:fldChar w:fldCharType="end"/>
      </w:r>
      <w:r w:rsidRPr="00B659A7">
        <w:rPr>
          <w:color w:val="000000"/>
        </w:rPr>
        <w:t>.</w:t>
      </w:r>
    </w:p>
    <w:p w:rsidR="007853EC" w:rsidRDefault="007853EC" w:rsidP="007853EC">
      <w:pPr>
        <w:rPr>
          <w:color w:val="000000"/>
        </w:rPr>
      </w:pPr>
      <w:r>
        <w:rPr>
          <w:b/>
          <w:bCs/>
        </w:rPr>
        <w:t>A numerical e</w:t>
      </w:r>
      <w:r w:rsidRPr="005775B7">
        <w:rPr>
          <w:b/>
          <w:bCs/>
        </w:rPr>
        <w:t>xample</w:t>
      </w:r>
      <w:r>
        <w:rPr>
          <w:b/>
          <w:bCs/>
        </w:rPr>
        <w:t xml:space="preserve"> for some descriptive statistics</w:t>
      </w:r>
      <w:r w:rsidRPr="005775B7">
        <w:rPr>
          <w:b/>
          <w:bCs/>
        </w:rPr>
        <w:t>:</w:t>
      </w:r>
      <w:r w:rsidRPr="005775B7">
        <w:rPr>
          <w:color w:val="000000"/>
        </w:rPr>
        <w:t xml:space="preserve"> Given the following, </w:t>
      </w:r>
    </w:p>
    <w:p w:rsidR="007853EC" w:rsidRDefault="007853EC" w:rsidP="007853EC">
      <w:pPr>
        <w:rPr>
          <w:color w:val="000000"/>
        </w:rPr>
      </w:pPr>
      <w:r w:rsidRPr="005775B7">
        <w:rPr>
          <w:color w:val="000000"/>
        </w:rPr>
        <w:t>small (n = 4) data set, compute the descriptive statistics:</w:t>
      </w:r>
    </w:p>
    <w:p w:rsidR="007853EC" w:rsidRDefault="007853EC" w:rsidP="007853EC">
      <w:pPr>
        <w:rPr>
          <w:color w:val="000000"/>
        </w:rPr>
      </w:pPr>
    </w:p>
    <w:p w:rsidR="007853EC" w:rsidRDefault="007853EC" w:rsidP="007853EC">
      <w:pPr>
        <w:rPr>
          <w:color w:val="000000"/>
        </w:rPr>
      </w:pPr>
      <w:r w:rsidRPr="005775B7">
        <w:rPr>
          <w:color w:val="000000"/>
        </w:rPr>
        <w:t xml:space="preserve"> x</w:t>
      </w:r>
      <w:r w:rsidRPr="005775B7">
        <w:rPr>
          <w:color w:val="000000"/>
          <w:vertAlign w:val="subscript"/>
        </w:rPr>
        <w:t>1</w:t>
      </w:r>
      <w:r w:rsidRPr="005775B7">
        <w:rPr>
          <w:color w:val="000000"/>
        </w:rPr>
        <w:t xml:space="preserve"> = 1, x</w:t>
      </w:r>
      <w:r w:rsidRPr="005775B7">
        <w:rPr>
          <w:color w:val="000000"/>
          <w:vertAlign w:val="subscript"/>
        </w:rPr>
        <w:t>2</w:t>
      </w:r>
      <w:r w:rsidRPr="005775B7">
        <w:rPr>
          <w:color w:val="000000"/>
        </w:rPr>
        <w:t xml:space="preserve"> = 2, x</w:t>
      </w:r>
      <w:r w:rsidRPr="005775B7">
        <w:rPr>
          <w:color w:val="000000"/>
          <w:vertAlign w:val="subscript"/>
        </w:rPr>
        <w:t>3</w:t>
      </w:r>
      <w:r w:rsidRPr="005775B7">
        <w:rPr>
          <w:color w:val="000000"/>
        </w:rPr>
        <w:t xml:space="preserve"> = 3, and x</w:t>
      </w:r>
      <w:r w:rsidRPr="005775B7">
        <w:rPr>
          <w:color w:val="000000"/>
          <w:vertAlign w:val="subscript"/>
        </w:rPr>
        <w:t>4</w:t>
      </w:r>
      <w:r w:rsidRPr="005775B7">
        <w:rPr>
          <w:color w:val="000000"/>
        </w:rPr>
        <w:t xml:space="preserve"> = 6. </w:t>
      </w:r>
    </w:p>
    <w:p w:rsidR="007853EC" w:rsidRPr="005775B7" w:rsidRDefault="007853EC" w:rsidP="007853EC">
      <w:pPr>
        <w:rPr>
          <w:color w:val="000000"/>
        </w:rPr>
      </w:pPr>
    </w:p>
    <w:tbl>
      <w:tblPr>
        <w:tblW w:w="0" w:type="auto"/>
        <w:jc w:val="center"/>
        <w:tblCellSpacing w:w="0" w:type="dxa"/>
        <w:tblBorders>
          <w:top w:val="outset" w:sz="6" w:space="0" w:color="DDDDDD"/>
          <w:left w:val="outset" w:sz="6" w:space="0" w:color="DDDDDD"/>
          <w:bottom w:val="outset" w:sz="6" w:space="0" w:color="DDDDDD"/>
          <w:right w:val="outset" w:sz="6" w:space="0" w:color="DDDDDD"/>
        </w:tblBorders>
        <w:tblCellMar>
          <w:top w:w="15" w:type="dxa"/>
          <w:left w:w="15" w:type="dxa"/>
          <w:bottom w:w="15" w:type="dxa"/>
          <w:right w:w="15" w:type="dxa"/>
        </w:tblCellMar>
        <w:tblLook w:val="0000"/>
      </w:tblPr>
      <w:tblGrid>
        <w:gridCol w:w="501"/>
        <w:gridCol w:w="300"/>
        <w:gridCol w:w="765"/>
        <w:gridCol w:w="965"/>
        <w:gridCol w:w="965"/>
        <w:gridCol w:w="905"/>
      </w:tblGrid>
      <w:tr w:rsidR="007853EC" w:rsidRPr="005775B7">
        <w:trPr>
          <w:tblCellSpacing w:w="0" w:type="dxa"/>
          <w:jc w:val="center"/>
        </w:trPr>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i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x</w:t>
            </w:r>
            <w:r w:rsidRPr="005775B7">
              <w:rPr>
                <w:color w:val="000000"/>
                <w:vertAlign w:val="subscript"/>
              </w:rPr>
              <w:t>i</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w:t>
            </w:r>
            <w:r w:rsidRPr="005775B7">
              <w:rPr>
                <w:color w:val="000000"/>
                <w:vertAlign w:val="subscript"/>
              </w:rPr>
              <w:t>i</w:t>
            </w:r>
            <w:r w:rsidRPr="005775B7">
              <w:rPr>
                <w:color w:val="000000"/>
              </w:rPr>
              <w:t xml:space="preserve">- </w:t>
            </w:r>
            <w:r w:rsidR="00C52188">
              <w:rPr>
                <w:noProof/>
                <w:color w:val="000000"/>
              </w:rPr>
              <w:drawing>
                <wp:inline distT="0" distB="0" distL="0" distR="0">
                  <wp:extent cx="88900" cy="101600"/>
                  <wp:effectExtent l="25400" t="0" r="0" b="0"/>
                  <wp:docPr id="3" name="Picture 3"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5775B7">
              <w:rPr>
                <w:color w:val="000000"/>
              </w:rPr>
              <w:t>)</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w:t>
            </w:r>
            <w:r w:rsidRPr="005775B7">
              <w:rPr>
                <w:color w:val="000000"/>
                <w:vertAlign w:val="subscript"/>
              </w:rPr>
              <w:t>i</w:t>
            </w:r>
            <w:r w:rsidRPr="005775B7">
              <w:rPr>
                <w:color w:val="000000"/>
              </w:rPr>
              <w:t xml:space="preserve"> - </w:t>
            </w:r>
            <w:r w:rsidR="00C52188">
              <w:rPr>
                <w:noProof/>
                <w:color w:val="000000"/>
              </w:rPr>
              <w:drawing>
                <wp:inline distT="0" distB="0" distL="0" distR="0">
                  <wp:extent cx="88900" cy="101600"/>
                  <wp:effectExtent l="25400" t="0" r="0" b="0"/>
                  <wp:docPr id="4" name="Picture 4"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5775B7">
              <w:rPr>
                <w:color w:val="000000"/>
              </w:rPr>
              <w:t xml:space="preserve">) </w:t>
            </w:r>
            <w:r w:rsidRPr="005775B7">
              <w:rPr>
                <w:color w:val="000000"/>
                <w:vertAlign w:val="superscript"/>
              </w:rPr>
              <w:t>2</w:t>
            </w:r>
            <w:r w:rsidRPr="005775B7">
              <w:rPr>
                <w:color w:val="000000"/>
              </w:rPr>
              <w:t xml:space="preserve">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w:t>
            </w:r>
            <w:r w:rsidRPr="005775B7">
              <w:rPr>
                <w:color w:val="000000"/>
                <w:vertAlign w:val="subscript"/>
              </w:rPr>
              <w:t>i</w:t>
            </w:r>
            <w:r w:rsidRPr="005775B7">
              <w:rPr>
                <w:color w:val="000000"/>
              </w:rPr>
              <w:t xml:space="preserve"> - </w:t>
            </w:r>
            <w:r w:rsidR="00C52188">
              <w:rPr>
                <w:noProof/>
                <w:color w:val="000000"/>
              </w:rPr>
              <w:drawing>
                <wp:inline distT="0" distB="0" distL="0" distR="0">
                  <wp:extent cx="88900" cy="101600"/>
                  <wp:effectExtent l="25400" t="0" r="0" b="0"/>
                  <wp:docPr id="5" name="Picture 5"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5775B7">
              <w:rPr>
                <w:color w:val="000000"/>
              </w:rPr>
              <w:t xml:space="preserve">) </w:t>
            </w:r>
            <w:r w:rsidRPr="005775B7">
              <w:rPr>
                <w:color w:val="000000"/>
                <w:vertAlign w:val="superscript"/>
              </w:rPr>
              <w:t>3</w:t>
            </w:r>
            <w:r w:rsidRPr="005775B7">
              <w:rPr>
                <w:color w:val="000000"/>
              </w:rPr>
              <w:t xml:space="preserve">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w:t>
            </w:r>
            <w:r w:rsidRPr="005775B7">
              <w:rPr>
                <w:color w:val="000000"/>
                <w:vertAlign w:val="subscript"/>
              </w:rPr>
              <w:t>i</w:t>
            </w:r>
            <w:r w:rsidRPr="005775B7">
              <w:rPr>
                <w:color w:val="000000"/>
              </w:rPr>
              <w:t xml:space="preserve"> - </w:t>
            </w:r>
            <w:r w:rsidR="00C52188">
              <w:rPr>
                <w:noProof/>
                <w:color w:val="000000"/>
              </w:rPr>
              <w:drawing>
                <wp:inline distT="0" distB="0" distL="0" distR="0">
                  <wp:extent cx="88900" cy="101600"/>
                  <wp:effectExtent l="25400" t="0" r="0" b="0"/>
                  <wp:docPr id="6" name="Picture 6"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5775B7">
              <w:rPr>
                <w:color w:val="000000"/>
              </w:rPr>
              <w:t>)</w:t>
            </w:r>
            <w:r w:rsidRPr="005775B7">
              <w:rPr>
                <w:color w:val="000000"/>
                <w:vertAlign w:val="superscript"/>
              </w:rPr>
              <w:t>4</w:t>
            </w:r>
            <w:r w:rsidRPr="005775B7">
              <w:rPr>
                <w:color w:val="000000"/>
              </w:rPr>
              <w:t xml:space="preserve"> </w:t>
            </w:r>
          </w:p>
        </w:tc>
      </w:tr>
      <w:tr w:rsidR="007853EC" w:rsidRPr="005775B7">
        <w:trPr>
          <w:tblCellSpacing w:w="0" w:type="dxa"/>
          <w:jc w:val="center"/>
        </w:trPr>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1</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1</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-2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4</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-8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16</w:t>
            </w:r>
          </w:p>
        </w:tc>
      </w:tr>
      <w:tr w:rsidR="007853EC" w:rsidRPr="005775B7">
        <w:trPr>
          <w:tblCellSpacing w:w="0" w:type="dxa"/>
          <w:jc w:val="center"/>
        </w:trPr>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2</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2</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-1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1</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-1</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1</w:t>
            </w:r>
          </w:p>
        </w:tc>
      </w:tr>
      <w:tr w:rsidR="007853EC" w:rsidRPr="005775B7">
        <w:trPr>
          <w:tblCellSpacing w:w="0" w:type="dxa"/>
          <w:jc w:val="center"/>
        </w:trPr>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3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3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0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0</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0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0</w:t>
            </w:r>
          </w:p>
        </w:tc>
      </w:tr>
      <w:tr w:rsidR="007853EC" w:rsidRPr="005775B7">
        <w:trPr>
          <w:tblCellSpacing w:w="0" w:type="dxa"/>
          <w:jc w:val="center"/>
        </w:trPr>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4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6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3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9</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27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81</w:t>
            </w:r>
          </w:p>
        </w:tc>
      </w:tr>
      <w:tr w:rsidR="007853EC" w:rsidRPr="005775B7">
        <w:trPr>
          <w:tblCellSpacing w:w="0" w:type="dxa"/>
          <w:jc w:val="center"/>
        </w:trPr>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Sum</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12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0</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14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 xml:space="preserve">18 </w:t>
            </w:r>
          </w:p>
        </w:tc>
        <w:tc>
          <w:tcPr>
            <w:tcW w:w="0" w:type="auto"/>
            <w:tcBorders>
              <w:top w:val="outset" w:sz="6" w:space="0" w:color="DDDDDD"/>
              <w:left w:val="outset" w:sz="6" w:space="0" w:color="DDDDDD"/>
              <w:bottom w:val="outset" w:sz="6" w:space="0" w:color="DDDDDD"/>
              <w:right w:val="outset" w:sz="6" w:space="0" w:color="DDDDDD"/>
            </w:tcBorders>
            <w:shd w:val="clear" w:color="auto" w:fill="auto"/>
            <w:vAlign w:val="center"/>
          </w:tcPr>
          <w:p w:rsidR="007853EC" w:rsidRPr="005775B7" w:rsidRDefault="007853EC" w:rsidP="007853EC">
            <w:pPr>
              <w:jc w:val="center"/>
              <w:rPr>
                <w:color w:val="000000"/>
              </w:rPr>
            </w:pPr>
            <w:r w:rsidRPr="005775B7">
              <w:rPr>
                <w:color w:val="000000"/>
              </w:rPr>
              <w:t>98</w:t>
            </w:r>
          </w:p>
        </w:tc>
      </w:tr>
    </w:tbl>
    <w:p w:rsidR="007853EC" w:rsidRDefault="007853EC" w:rsidP="007853EC">
      <w:pPr>
        <w:spacing w:before="100" w:beforeAutospacing="1" w:after="100" w:afterAutospacing="1"/>
        <w:rPr>
          <w:color w:val="000000"/>
        </w:rPr>
      </w:pPr>
      <w:r w:rsidRPr="005775B7">
        <w:rPr>
          <w:color w:val="000000"/>
        </w:rPr>
        <w:t xml:space="preserve">The mean </w:t>
      </w:r>
      <w:r w:rsidR="00C52188">
        <w:rPr>
          <w:noProof/>
          <w:color w:val="000000"/>
        </w:rPr>
        <w:drawing>
          <wp:inline distT="0" distB="0" distL="0" distR="0">
            <wp:extent cx="88900" cy="101600"/>
            <wp:effectExtent l="25400" t="0" r="0" b="0"/>
            <wp:docPr id="7" name="Picture 7"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5775B7">
        <w:rPr>
          <w:color w:val="000000"/>
        </w:rPr>
        <w:t>is 12 / 4 = 3; the variance is s</w:t>
      </w:r>
      <w:r w:rsidRPr="005775B7">
        <w:rPr>
          <w:color w:val="000000"/>
          <w:vertAlign w:val="superscript"/>
        </w:rPr>
        <w:t>2</w:t>
      </w:r>
      <w:r w:rsidRPr="005775B7">
        <w:rPr>
          <w:color w:val="000000"/>
        </w:rPr>
        <w:t xml:space="preserve"> = 14 / 3 = 4.67; the standard deviation is s = </w:t>
      </w:r>
    </w:p>
    <w:p w:rsidR="007853EC" w:rsidRDefault="007853EC" w:rsidP="007853EC">
      <w:pPr>
        <w:spacing w:before="100" w:beforeAutospacing="1" w:after="100" w:afterAutospacing="1"/>
        <w:rPr>
          <w:color w:val="000000"/>
        </w:rPr>
      </w:pPr>
      <w:r w:rsidRPr="005775B7">
        <w:rPr>
          <w:color w:val="000000"/>
        </w:rPr>
        <w:t xml:space="preserve">(14/3) </w:t>
      </w:r>
      <w:r w:rsidRPr="005775B7">
        <w:rPr>
          <w:color w:val="000000"/>
          <w:vertAlign w:val="superscript"/>
        </w:rPr>
        <w:t>0.5</w:t>
      </w:r>
      <w:r w:rsidRPr="005775B7">
        <w:rPr>
          <w:color w:val="000000"/>
        </w:rPr>
        <w:t xml:space="preserve"> = 2.16; the skewness is 18 / [3 (2.16) </w:t>
      </w:r>
      <w:r w:rsidRPr="005775B7">
        <w:rPr>
          <w:color w:val="000000"/>
          <w:vertAlign w:val="superscript"/>
        </w:rPr>
        <w:t>3</w:t>
      </w:r>
      <w:r w:rsidRPr="005775B7">
        <w:rPr>
          <w:color w:val="000000"/>
        </w:rPr>
        <w:t xml:space="preserve"> ] = 0.5952, and finally, the kurtosis is </w:t>
      </w:r>
    </w:p>
    <w:p w:rsidR="007853EC" w:rsidRPr="005775B7" w:rsidRDefault="007853EC" w:rsidP="007853EC">
      <w:pPr>
        <w:spacing w:before="100" w:beforeAutospacing="1" w:after="100" w:afterAutospacing="1"/>
        <w:rPr>
          <w:color w:val="000000"/>
        </w:rPr>
      </w:pPr>
      <w:r w:rsidRPr="005775B7">
        <w:rPr>
          <w:color w:val="000000"/>
        </w:rPr>
        <w:t xml:space="preserve">98 / [3 (2.16) </w:t>
      </w:r>
      <w:r w:rsidRPr="005775B7">
        <w:rPr>
          <w:color w:val="000000"/>
          <w:vertAlign w:val="superscript"/>
        </w:rPr>
        <w:t>4</w:t>
      </w:r>
      <w:r w:rsidRPr="005775B7">
        <w:rPr>
          <w:color w:val="000000"/>
        </w:rPr>
        <w:t xml:space="preserve">] = 1.5. </w:t>
      </w:r>
    </w:p>
    <w:p w:rsidR="007853EC" w:rsidRDefault="007853EC" w:rsidP="007853EC">
      <w:pPr>
        <w:spacing w:before="100" w:beforeAutospacing="1" w:afterAutospacing="1"/>
        <w:rPr>
          <w:color w:val="000000"/>
        </w:rPr>
      </w:pPr>
      <w:r w:rsidRPr="005775B7">
        <w:rPr>
          <w:color w:val="000000"/>
        </w:rPr>
        <w:t>You might like to use</w:t>
      </w:r>
      <w:r>
        <w:rPr>
          <w:color w:val="000000"/>
        </w:rPr>
        <w:t>:</w:t>
      </w:r>
      <w:r w:rsidRPr="005775B7">
        <w:rPr>
          <w:color w:val="000000"/>
        </w:rPr>
        <w:fldChar w:fldCharType="begin"/>
      </w:r>
      <w:r w:rsidRPr="005775B7">
        <w:rPr>
          <w:color w:val="000000"/>
        </w:rPr>
        <w:instrText xml:space="preserve"> HYPERLINK "http://home.ubalt.edu/ntsbarsh/Business-stat/otherapplets/Descriptive.htm" \t "new" </w:instrText>
      </w:r>
      <w:r w:rsidRPr="005775B7">
        <w:rPr>
          <w:color w:val="000000"/>
        </w:rPr>
        <w:fldChar w:fldCharType="separate"/>
      </w:r>
      <w:r w:rsidRPr="005775B7">
        <w:rPr>
          <w:color w:val="0063A4"/>
          <w:u w:val="single"/>
        </w:rPr>
        <w:t>Descriptive Statistics</w:t>
      </w:r>
      <w:r w:rsidRPr="005775B7">
        <w:rPr>
          <w:color w:val="000000"/>
        </w:rPr>
        <w:fldChar w:fldCharType="end"/>
      </w:r>
      <w:r>
        <w:rPr>
          <w:color w:val="000000"/>
        </w:rPr>
        <w:t xml:space="preserve"> </w:t>
      </w:r>
    </w:p>
    <w:p w:rsidR="007853EC" w:rsidRDefault="007853EC" w:rsidP="007853EC">
      <w:pPr>
        <w:spacing w:before="100" w:beforeAutospacing="1" w:afterAutospacing="1"/>
        <w:rPr>
          <w:color w:val="000000"/>
        </w:rPr>
      </w:pPr>
      <w:hyperlink r:id="rId7" w:history="1">
        <w:r w:rsidRPr="004E0FB3">
          <w:rPr>
            <w:rStyle w:val="Hyperlink"/>
          </w:rPr>
          <w:t>http://home.ubalt.edu/ntsbarsh/Business-stat/otherapplets/Descriptive.htm</w:t>
        </w:r>
      </w:hyperlink>
    </w:p>
    <w:p w:rsidR="00437D60" w:rsidRDefault="007853EC" w:rsidP="007853EC">
      <w:r>
        <w:rPr>
          <w:color w:val="000000"/>
        </w:rPr>
        <w:t xml:space="preserve">JavaScript </w:t>
      </w:r>
      <w:r w:rsidRPr="005775B7">
        <w:rPr>
          <w:color w:val="000000"/>
        </w:rPr>
        <w:t>to check your hand computation.</w:t>
      </w:r>
    </w:p>
    <w:sectPr w:rsidR="00437D6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380F3B"/>
    <w:rsid w:val="00083C7F"/>
    <w:rsid w:val="000F2A56"/>
    <w:rsid w:val="001B7675"/>
    <w:rsid w:val="002528CE"/>
    <w:rsid w:val="00380F3B"/>
    <w:rsid w:val="004225D0"/>
    <w:rsid w:val="00437D60"/>
    <w:rsid w:val="004A381D"/>
    <w:rsid w:val="005775B7"/>
    <w:rsid w:val="007853EC"/>
    <w:rsid w:val="009E1A93"/>
    <w:rsid w:val="00A768D4"/>
    <w:rsid w:val="00A85615"/>
    <w:rsid w:val="00B45DB5"/>
    <w:rsid w:val="00C52188"/>
    <w:rsid w:val="00F60BA9"/>
    <w:rsid w:val="00FE1E6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5775B7"/>
    <w:pPr>
      <w:spacing w:before="100" w:beforeAutospacing="1" w:after="100" w:afterAutospacing="1"/>
      <w:outlineLvl w:val="3"/>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775B7"/>
    <w:rPr>
      <w:color w:val="0063A4"/>
      <w:u w:val="single"/>
    </w:rPr>
  </w:style>
  <w:style w:type="paragraph" w:styleId="NormalWeb">
    <w:name w:val="Normal (Web)"/>
    <w:basedOn w:val="Normal"/>
    <w:rsid w:val="005775B7"/>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765685559">
      <w:bodyDiv w:val="1"/>
      <w:marLeft w:val="0"/>
      <w:marRight w:val="0"/>
      <w:marTop w:val="0"/>
      <w:marBottom w:val="0"/>
      <w:divBdr>
        <w:top w:val="none" w:sz="0" w:space="0" w:color="auto"/>
        <w:left w:val="none" w:sz="0" w:space="0" w:color="auto"/>
        <w:bottom w:val="none" w:sz="0" w:space="0" w:color="auto"/>
        <w:right w:val="none" w:sz="0" w:space="0" w:color="auto"/>
      </w:divBdr>
      <w:divsChild>
        <w:div w:id="182000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174474">
      <w:bodyDiv w:val="1"/>
      <w:marLeft w:val="0"/>
      <w:marRight w:val="0"/>
      <w:marTop w:val="0"/>
      <w:marBottom w:val="0"/>
      <w:divBdr>
        <w:top w:val="none" w:sz="0" w:space="0" w:color="auto"/>
        <w:left w:val="none" w:sz="0" w:space="0" w:color="auto"/>
        <w:bottom w:val="none" w:sz="0" w:space="0" w:color="auto"/>
        <w:right w:val="none" w:sz="0" w:space="0" w:color="auto"/>
      </w:divBdr>
      <w:divsChild>
        <w:div w:id="252907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home.ubalt.edu/ntsbarsh/Business-stat/otherapplets/Descriptiv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2162</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2655</CharactersWithSpaces>
  <SharedDoc>false</SharedDoc>
  <HLinks>
    <vt:vector size="18" baseType="variant">
      <vt:variant>
        <vt:i4>4390915</vt:i4>
      </vt:variant>
      <vt:variant>
        <vt:i4>27</vt:i4>
      </vt:variant>
      <vt:variant>
        <vt:i4>0</vt:i4>
      </vt:variant>
      <vt:variant>
        <vt:i4>5</vt:i4>
      </vt:variant>
      <vt:variant>
        <vt:lpwstr>http://home.ubalt.edu/ntsbarsh/Business-stat/otherapplets/Descriptive.htm</vt:lpwstr>
      </vt:variant>
      <vt:variant>
        <vt:lpwstr/>
      </vt:variant>
      <vt:variant>
        <vt:i4>4390915</vt:i4>
      </vt:variant>
      <vt:variant>
        <vt:i4>24</vt:i4>
      </vt:variant>
      <vt:variant>
        <vt:i4>0</vt:i4>
      </vt:variant>
      <vt:variant>
        <vt:i4>5</vt:i4>
      </vt:variant>
      <vt:variant>
        <vt:lpwstr>http://home.ubalt.edu/ntsbarsh/Business-stat/otherapplets/Descriptive.htm</vt:lpwstr>
      </vt:variant>
      <vt:variant>
        <vt:lpwstr/>
      </vt:variant>
      <vt:variant>
        <vt:i4>6553648</vt:i4>
      </vt:variant>
      <vt:variant>
        <vt:i4>6</vt:i4>
      </vt:variant>
      <vt:variant>
        <vt:i4>0</vt:i4>
      </vt:variant>
      <vt:variant>
        <vt:i4>5</vt:i4>
      </vt:variant>
      <vt:variant>
        <vt:lpwstr>http://home.ubalt.edu/ntsbarsh/Business-stat/histograming/topframe.html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Hossein Arsham</dc:creator>
  <cp:keywords/>
  <dc:description/>
  <cp:lastModifiedBy>Hossein Arsham</cp:lastModifiedBy>
  <cp:revision>2</cp:revision>
  <dcterms:created xsi:type="dcterms:W3CDTF">2014-09-09T17:42:00Z</dcterms:created>
  <dcterms:modified xsi:type="dcterms:W3CDTF">2014-09-09T17:42:00Z</dcterms:modified>
</cp:coreProperties>
</file>